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0A" w:rsidRPr="008E75FB" w:rsidRDefault="0065690A" w:rsidP="0065690A">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place">
        <w:smartTag w:uri="urn:schemas-microsoft-com:office:smarttags" w:element="PlaceName">
          <w:r>
            <w:rPr>
              <w:rFonts w:ascii="Arial" w:hAnsi="Arial" w:cs="Arial"/>
              <w:b/>
            </w:rPr>
            <w:t>Ashton</w:t>
          </w:r>
        </w:smartTag>
        <w:r>
          <w:rPr>
            <w:rFonts w:ascii="Arial" w:hAnsi="Arial" w:cs="Arial"/>
            <w:b/>
          </w:rPr>
          <w:t xml:space="preserve"> </w:t>
        </w:r>
        <w:smartTag w:uri="urn:schemas-microsoft-com:office:smarttags" w:element="PlaceName">
          <w:r>
            <w:rPr>
              <w:rFonts w:ascii="Arial" w:hAnsi="Arial" w:cs="Arial"/>
              <w:b/>
            </w:rPr>
            <w:t>Vale</w:t>
          </w:r>
        </w:smartTag>
        <w:r>
          <w:rPr>
            <w:rFonts w:ascii="Arial" w:hAnsi="Arial" w:cs="Arial"/>
            <w:b/>
          </w:rPr>
          <w:t xml:space="preserve"> </w:t>
        </w:r>
        <w:smartTag w:uri="urn:schemas-microsoft-com:office:smarttags" w:element="PlaceType">
          <w:r>
            <w:rPr>
              <w:rFonts w:ascii="Arial" w:hAnsi="Arial" w:cs="Arial"/>
              <w:b/>
            </w:rPr>
            <w:t>Primary</w:t>
          </w:r>
          <w:r w:rsidRPr="0008136C">
            <w:rPr>
              <w:rFonts w:ascii="Arial" w:hAnsi="Arial" w:cs="Arial"/>
              <w:b/>
            </w:rPr>
            <w:t xml:space="preserve"> School</w:t>
          </w:r>
        </w:smartTag>
      </w:smartTag>
      <w:r>
        <w:rPr>
          <w:rFonts w:ascii="Arial" w:hAnsi="Arial" w:cs="Arial"/>
          <w:b/>
        </w:rPr>
        <w:t xml:space="preserve"> Reporting</w:t>
      </w:r>
      <w:r w:rsidRPr="008E75FB">
        <w:rPr>
          <w:rFonts w:ascii="Arial" w:hAnsi="Arial" w:cs="Arial"/>
          <w:b/>
        </w:rPr>
        <w:t xml:space="preserve"> of Pupil Premium </w:t>
      </w:r>
    </w:p>
    <w:p w:rsidR="0065690A" w:rsidRDefault="0065690A" w:rsidP="0065690A">
      <w:pPr>
        <w:jc w:val="center"/>
        <w:rPr>
          <w:rFonts w:ascii="Arial" w:hAnsi="Arial" w:cs="Arial"/>
        </w:rPr>
      </w:pPr>
    </w:p>
    <w:p w:rsidR="0065690A" w:rsidRPr="0008136C" w:rsidRDefault="0065690A" w:rsidP="0065690A">
      <w:pPr>
        <w:jc w:val="center"/>
        <w:rPr>
          <w:rFonts w:ascii="Arial" w:hAnsi="Arial" w:cs="Arial"/>
          <w:b/>
        </w:rPr>
      </w:pPr>
      <w:r w:rsidRPr="0008136C">
        <w:rPr>
          <w:rFonts w:ascii="Arial" w:hAnsi="Arial" w:cs="Arial"/>
          <w:b/>
        </w:rPr>
        <w:t>Pupil Premium Report</w:t>
      </w:r>
    </w:p>
    <w:p w:rsidR="0065690A" w:rsidRPr="0008136C" w:rsidRDefault="0065690A" w:rsidP="0065690A">
      <w:pPr>
        <w:jc w:val="center"/>
        <w:rPr>
          <w:rFonts w:ascii="Arial" w:hAnsi="Arial" w:cs="Arial"/>
          <w:b/>
        </w:rPr>
      </w:pPr>
      <w:r>
        <w:rPr>
          <w:rFonts w:ascii="Arial" w:hAnsi="Arial" w:cs="Arial"/>
          <w:b/>
          <w:sz w:val="22"/>
          <w:szCs w:val="22"/>
        </w:rPr>
        <w:t>201</w:t>
      </w:r>
      <w:r w:rsidR="00BF256D">
        <w:rPr>
          <w:rFonts w:ascii="Arial" w:hAnsi="Arial" w:cs="Arial"/>
          <w:b/>
          <w:sz w:val="22"/>
          <w:szCs w:val="22"/>
        </w:rPr>
        <w:t>6</w:t>
      </w:r>
      <w:r>
        <w:rPr>
          <w:rFonts w:ascii="Arial" w:hAnsi="Arial" w:cs="Arial"/>
          <w:b/>
          <w:sz w:val="22"/>
          <w:szCs w:val="22"/>
        </w:rPr>
        <w:t>/201</w:t>
      </w:r>
      <w:r w:rsidR="00BF256D">
        <w:rPr>
          <w:rFonts w:ascii="Arial" w:hAnsi="Arial" w:cs="Arial"/>
          <w:b/>
          <w:sz w:val="22"/>
          <w:szCs w:val="22"/>
        </w:rPr>
        <w:t>7</w:t>
      </w:r>
    </w:p>
    <w:p w:rsidR="0065690A" w:rsidRPr="008C19A7" w:rsidRDefault="0065690A" w:rsidP="0065690A">
      <w:pPr>
        <w:shd w:val="clear" w:color="auto" w:fill="FFFFFF"/>
        <w:spacing w:before="100" w:beforeAutospacing="1" w:after="75"/>
        <w:rPr>
          <w:rFonts w:ascii="Arial" w:hAnsi="Arial" w:cs="Arial"/>
          <w:color w:val="000000"/>
          <w:sz w:val="22"/>
          <w:szCs w:val="22"/>
        </w:rPr>
      </w:pPr>
      <w:r w:rsidRPr="008C19A7">
        <w:rPr>
          <w:rFonts w:ascii="Arial" w:hAnsi="Arial" w:cs="Arial"/>
          <w:color w:val="000000"/>
          <w:sz w:val="22"/>
          <w:szCs w:val="22"/>
        </w:rPr>
        <w:t>The Government introduced the Pupil Premium Grant in April 201</w:t>
      </w:r>
      <w:r>
        <w:rPr>
          <w:rFonts w:ascii="Arial" w:hAnsi="Arial" w:cs="Arial"/>
          <w:color w:val="000000"/>
          <w:sz w:val="22"/>
          <w:szCs w:val="22"/>
        </w:rPr>
        <w:t>1</w:t>
      </w:r>
      <w:r w:rsidRPr="008C19A7">
        <w:rPr>
          <w:rFonts w:ascii="Arial" w:hAnsi="Arial" w:cs="Arial"/>
          <w:color w:val="000000"/>
          <w:sz w:val="22"/>
          <w:szCs w:val="22"/>
        </w:rPr>
        <w:t>.  This grant, which is additional to main school funding, is seen by the government as the best way to address the current underlying inequalities between children eligible for free school meals (FSM) and their wealthier peers, by ensuring that funding to tackle disadvantage reaches the pupils who need it most.  The Pupil Premium is allocated to schools and is clearly identifiable. Schools can decide how the Pupil Premium is spent, since they are best placed to assess what additional provision should be made for the individual pupils within their responsibility.</w:t>
      </w:r>
      <w:r w:rsidRPr="008C19A7">
        <w:rPr>
          <w:rFonts w:ascii="MS Gothic" w:eastAsia="MS Gothic" w:hAnsi="MS Gothic" w:cs="MS Gothic" w:hint="eastAsia"/>
          <w:color w:val="000000"/>
          <w:sz w:val="22"/>
          <w:szCs w:val="22"/>
        </w:rPr>
        <w:t xml:space="preserve">　</w:t>
      </w:r>
      <w:r w:rsidRPr="008C19A7">
        <w:rPr>
          <w:rFonts w:ascii="Arial" w:hAnsi="Arial" w:cs="Arial"/>
          <w:color w:val="000000"/>
          <w:sz w:val="22"/>
          <w:szCs w:val="22"/>
        </w:rPr>
        <w:t xml:space="preserve"> </w:t>
      </w:r>
    </w:p>
    <w:p w:rsidR="0065690A" w:rsidRPr="0041186B" w:rsidRDefault="0065690A" w:rsidP="0065690A">
      <w:pPr>
        <w:shd w:val="clear" w:color="auto" w:fill="FFFFFF"/>
        <w:spacing w:before="100" w:beforeAutospacing="1" w:after="75"/>
        <w:rPr>
          <w:rFonts w:ascii="Arial" w:hAnsi="Arial" w:cs="Arial"/>
          <w:color w:val="000000"/>
          <w:sz w:val="22"/>
          <w:szCs w:val="22"/>
        </w:rPr>
      </w:pPr>
      <w:r w:rsidRPr="008C19A7">
        <w:rPr>
          <w:rFonts w:ascii="Arial" w:hAnsi="Arial" w:cs="Arial"/>
          <w:color w:val="000000"/>
          <w:sz w:val="22"/>
          <w:szCs w:val="22"/>
        </w:rPr>
        <w:t xml:space="preserve">At </w:t>
      </w:r>
      <w:smartTag w:uri="urn:schemas-microsoft-com:office:smarttags" w:element="place">
        <w:smartTag w:uri="urn:schemas-microsoft-com:office:smarttags" w:element="PlaceName">
          <w:r>
            <w:rPr>
              <w:rFonts w:ascii="Arial" w:hAnsi="Arial" w:cs="Arial"/>
              <w:color w:val="000000"/>
              <w:sz w:val="22"/>
              <w:szCs w:val="22"/>
            </w:rPr>
            <w:t>Ashton</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Vale</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Primary</w:t>
          </w:r>
          <w:r w:rsidRPr="008C19A7">
            <w:rPr>
              <w:rFonts w:ascii="Arial" w:hAnsi="Arial" w:cs="Arial"/>
              <w:color w:val="000000"/>
              <w:sz w:val="22"/>
              <w:szCs w:val="22"/>
            </w:rPr>
            <w:t xml:space="preserve"> School</w:t>
          </w:r>
        </w:smartTag>
      </w:smartTag>
      <w:r w:rsidRPr="008C19A7">
        <w:rPr>
          <w:rFonts w:ascii="Arial" w:hAnsi="Arial" w:cs="Arial"/>
          <w:color w:val="000000"/>
          <w:sz w:val="22"/>
          <w:szCs w:val="22"/>
        </w:rPr>
        <w:t xml:space="preserve"> we support all our pupils.  We do this by providing high quality classroom teaching </w:t>
      </w:r>
      <w:r>
        <w:rPr>
          <w:rFonts w:ascii="Arial" w:hAnsi="Arial" w:cs="Arial"/>
          <w:color w:val="000000"/>
          <w:sz w:val="22"/>
          <w:szCs w:val="22"/>
        </w:rPr>
        <w:t xml:space="preserve">supplemented </w:t>
      </w:r>
      <w:r w:rsidRPr="008C19A7">
        <w:rPr>
          <w:rFonts w:ascii="Arial" w:hAnsi="Arial" w:cs="Arial"/>
          <w:color w:val="000000"/>
          <w:sz w:val="22"/>
          <w:szCs w:val="22"/>
        </w:rPr>
        <w:t xml:space="preserve">by </w:t>
      </w:r>
      <w:r>
        <w:rPr>
          <w:rFonts w:ascii="Arial" w:hAnsi="Arial" w:cs="Arial"/>
          <w:color w:val="000000"/>
          <w:sz w:val="22"/>
          <w:szCs w:val="22"/>
        </w:rPr>
        <w:t>interventions to support</w:t>
      </w:r>
      <w:r w:rsidRPr="008C19A7">
        <w:rPr>
          <w:rFonts w:ascii="Arial" w:hAnsi="Arial" w:cs="Arial"/>
          <w:color w:val="000000"/>
          <w:sz w:val="22"/>
          <w:szCs w:val="22"/>
        </w:rPr>
        <w:t xml:space="preserve"> vulnerable </w:t>
      </w:r>
      <w:r>
        <w:rPr>
          <w:rFonts w:ascii="Arial" w:hAnsi="Arial" w:cs="Arial"/>
          <w:color w:val="000000"/>
          <w:sz w:val="22"/>
          <w:szCs w:val="22"/>
        </w:rPr>
        <w:t xml:space="preserve">learners as and </w:t>
      </w:r>
      <w:r w:rsidRPr="008C19A7">
        <w:rPr>
          <w:rFonts w:ascii="Arial" w:hAnsi="Arial" w:cs="Arial"/>
          <w:color w:val="000000"/>
          <w:sz w:val="22"/>
          <w:szCs w:val="22"/>
        </w:rPr>
        <w:t xml:space="preserve">when </w:t>
      </w:r>
      <w:r>
        <w:rPr>
          <w:rFonts w:ascii="Arial" w:hAnsi="Arial" w:cs="Arial"/>
          <w:color w:val="000000"/>
          <w:sz w:val="22"/>
          <w:szCs w:val="22"/>
        </w:rPr>
        <w:t>required</w:t>
      </w:r>
      <w:r w:rsidRPr="008C19A7">
        <w:rPr>
          <w:rFonts w:ascii="Arial" w:hAnsi="Arial" w:cs="Arial"/>
          <w:color w:val="000000"/>
          <w:sz w:val="22"/>
          <w:szCs w:val="22"/>
        </w:rPr>
        <w:t xml:space="preserve">.  </w:t>
      </w:r>
      <w:r>
        <w:rPr>
          <w:rFonts w:ascii="Arial" w:hAnsi="Arial" w:cs="Arial"/>
          <w:color w:val="000000"/>
          <w:sz w:val="22"/>
          <w:szCs w:val="22"/>
        </w:rPr>
        <w:t>The School Leadership Team and Governing Body monitor the impact of all spending and interventions, including the Pupil Premium.</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72"/>
        <w:gridCol w:w="805"/>
        <w:gridCol w:w="1993"/>
        <w:gridCol w:w="936"/>
        <w:gridCol w:w="3219"/>
      </w:tblGrid>
      <w:tr w:rsidR="0065690A" w:rsidRPr="00315BDE" w:rsidTr="0051597D">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Financial</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year</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Pupil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Premium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Grant</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 of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pupils </w:t>
            </w:r>
          </w:p>
          <w:p w:rsidR="0065690A" w:rsidRPr="00315BDE" w:rsidRDefault="009033E0" w:rsidP="00BF256D">
            <w:pPr>
              <w:spacing w:before="100" w:beforeAutospacing="1" w:after="75"/>
              <w:rPr>
                <w:rFonts w:ascii="Arial" w:hAnsi="Arial" w:cs="Arial"/>
                <w:b/>
                <w:sz w:val="20"/>
                <w:szCs w:val="20"/>
              </w:rPr>
            </w:pPr>
            <w:r>
              <w:rPr>
                <w:rFonts w:ascii="Arial" w:hAnsi="Arial" w:cs="Arial"/>
                <w:b/>
                <w:sz w:val="20"/>
                <w:szCs w:val="20"/>
              </w:rPr>
              <w:t>1</w:t>
            </w:r>
            <w:r w:rsidR="00BF256D">
              <w:rPr>
                <w:rFonts w:ascii="Arial" w:hAnsi="Arial" w:cs="Arial"/>
                <w:b/>
                <w:sz w:val="20"/>
                <w:szCs w:val="20"/>
              </w:rPr>
              <w:t>0</w:t>
            </w:r>
            <w:r>
              <w:rPr>
                <w:rFonts w:ascii="Arial" w:hAnsi="Arial" w:cs="Arial"/>
                <w:b/>
                <w:sz w:val="20"/>
                <w:szCs w:val="20"/>
              </w:rPr>
              <w:t>%</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Grant used to fund</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Cost</w:t>
            </w:r>
          </w:p>
        </w:tc>
        <w:tc>
          <w:tcPr>
            <w:tcW w:w="3219" w:type="dxa"/>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Impact on attainment </w:t>
            </w:r>
          </w:p>
          <w:p w:rsidR="0065690A" w:rsidRPr="00315BDE" w:rsidRDefault="0065690A" w:rsidP="0051597D">
            <w:pPr>
              <w:spacing w:before="100" w:beforeAutospacing="1" w:after="75"/>
              <w:rPr>
                <w:rFonts w:ascii="Arial" w:hAnsi="Arial" w:cs="Arial"/>
                <w:b/>
                <w:sz w:val="20"/>
                <w:szCs w:val="20"/>
              </w:rPr>
            </w:pPr>
          </w:p>
        </w:tc>
      </w:tr>
      <w:tr w:rsidR="0065690A" w:rsidRPr="00315BDE" w:rsidTr="0051597D">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DA4867">
            <w:pPr>
              <w:spacing w:before="100" w:beforeAutospacing="1" w:after="75"/>
              <w:rPr>
                <w:rFonts w:ascii="Arial" w:hAnsi="Arial" w:cs="Arial"/>
                <w:b/>
                <w:sz w:val="22"/>
                <w:szCs w:val="22"/>
              </w:rPr>
            </w:pPr>
            <w:r w:rsidRPr="00315BDE">
              <w:rPr>
                <w:rFonts w:ascii="Arial" w:hAnsi="Arial" w:cs="Arial"/>
                <w:b/>
                <w:sz w:val="22"/>
                <w:szCs w:val="22"/>
              </w:rPr>
              <w:t>201</w:t>
            </w:r>
            <w:r w:rsidR="00DA4867">
              <w:rPr>
                <w:rFonts w:ascii="Arial" w:hAnsi="Arial" w:cs="Arial"/>
                <w:b/>
                <w:sz w:val="22"/>
                <w:szCs w:val="22"/>
              </w:rPr>
              <w:t>6</w:t>
            </w:r>
            <w:r w:rsidRPr="00315BDE">
              <w:rPr>
                <w:rFonts w:ascii="Arial" w:hAnsi="Arial" w:cs="Arial"/>
                <w:b/>
                <w:sz w:val="22"/>
                <w:szCs w:val="22"/>
              </w:rPr>
              <w:t>/1</w:t>
            </w:r>
            <w:r w:rsidR="00DA4867">
              <w:rPr>
                <w:rFonts w:ascii="Arial" w:hAnsi="Arial" w:cs="Arial"/>
                <w:b/>
                <w:sz w:val="22"/>
                <w:szCs w:val="22"/>
              </w:rPr>
              <w:t>7</w:t>
            </w:r>
          </w:p>
        </w:tc>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8B0DE9">
            <w:pPr>
              <w:spacing w:before="100" w:beforeAutospacing="1" w:after="75"/>
              <w:rPr>
                <w:rFonts w:ascii="Arial" w:hAnsi="Arial" w:cs="Arial"/>
                <w:b/>
                <w:sz w:val="22"/>
                <w:szCs w:val="22"/>
              </w:rPr>
            </w:pPr>
            <w:r w:rsidRPr="00315BDE">
              <w:rPr>
                <w:rFonts w:ascii="Arial" w:hAnsi="Arial" w:cs="Arial"/>
                <w:b/>
                <w:sz w:val="22"/>
                <w:szCs w:val="22"/>
              </w:rPr>
              <w:t>£</w:t>
            </w:r>
            <w:r>
              <w:rPr>
                <w:rFonts w:ascii="Arial" w:hAnsi="Arial" w:cs="Arial"/>
                <w:b/>
                <w:sz w:val="22"/>
                <w:szCs w:val="22"/>
              </w:rPr>
              <w:t>4</w:t>
            </w:r>
            <w:r w:rsidR="008B0DE9">
              <w:rPr>
                <w:rFonts w:ascii="Arial" w:hAnsi="Arial" w:cs="Arial"/>
                <w:b/>
                <w:sz w:val="22"/>
                <w:szCs w:val="22"/>
              </w:rPr>
              <w:t>7</w:t>
            </w:r>
            <w:r>
              <w:rPr>
                <w:rFonts w:ascii="Arial" w:hAnsi="Arial" w:cs="Arial"/>
                <w:b/>
                <w:sz w:val="22"/>
                <w:szCs w:val="22"/>
              </w:rPr>
              <w:t>,5</w:t>
            </w:r>
            <w:r w:rsidR="008B0DE9">
              <w:rPr>
                <w:rFonts w:ascii="Arial" w:hAnsi="Arial" w:cs="Arial"/>
                <w:b/>
                <w:sz w:val="22"/>
                <w:szCs w:val="22"/>
              </w:rPr>
              <w:t>20</w:t>
            </w:r>
          </w:p>
        </w:tc>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65690A">
            <w:pPr>
              <w:spacing w:before="100" w:beforeAutospacing="1" w:after="75"/>
              <w:rPr>
                <w:rFonts w:ascii="Arial" w:hAnsi="Arial" w:cs="Arial"/>
                <w:b/>
                <w:sz w:val="22"/>
                <w:szCs w:val="22"/>
              </w:rPr>
            </w:pPr>
            <w:r w:rsidRPr="00315BDE">
              <w:rPr>
                <w:rFonts w:ascii="Arial" w:hAnsi="Arial" w:cs="Arial"/>
                <w:b/>
                <w:sz w:val="22"/>
                <w:szCs w:val="22"/>
              </w:rPr>
              <w:t>%</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roofErr w:type="spellStart"/>
            <w:r w:rsidRPr="00315BDE">
              <w:rPr>
                <w:rFonts w:ascii="Arial" w:hAnsi="Arial" w:cs="Arial"/>
                <w:sz w:val="22"/>
                <w:szCs w:val="22"/>
              </w:rPr>
              <w:t>Yr</w:t>
            </w:r>
            <w:proofErr w:type="spellEnd"/>
            <w:r>
              <w:rPr>
                <w:rFonts w:ascii="Arial" w:hAnsi="Arial" w:cs="Arial"/>
                <w:sz w:val="22"/>
                <w:szCs w:val="22"/>
              </w:rPr>
              <w:t xml:space="preserve"> 1/</w:t>
            </w:r>
            <w:r w:rsidRPr="00315BDE">
              <w:rPr>
                <w:rFonts w:ascii="Arial" w:hAnsi="Arial" w:cs="Arial"/>
                <w:sz w:val="22"/>
                <w:szCs w:val="22"/>
              </w:rPr>
              <w:t xml:space="preserve"> R support Speech &amp; Language</w:t>
            </w:r>
          </w:p>
        </w:tc>
        <w:tc>
          <w:tcPr>
            <w:tcW w:w="0" w:type="auto"/>
            <w:shd w:val="clear" w:color="auto" w:fill="auto"/>
          </w:tcPr>
          <w:p w:rsidR="0065690A" w:rsidRPr="00315BDE" w:rsidRDefault="0065690A" w:rsidP="0065690A">
            <w:pPr>
              <w:spacing w:before="100" w:beforeAutospacing="1" w:after="75"/>
              <w:rPr>
                <w:rFonts w:ascii="Arial" w:hAnsi="Arial" w:cs="Arial"/>
                <w:sz w:val="22"/>
                <w:szCs w:val="22"/>
              </w:rPr>
            </w:pPr>
            <w:r>
              <w:rPr>
                <w:rFonts w:ascii="Arial" w:hAnsi="Arial" w:cs="Arial"/>
                <w:sz w:val="22"/>
                <w:szCs w:val="22"/>
              </w:rPr>
              <w:t>£9200</w:t>
            </w:r>
          </w:p>
        </w:tc>
        <w:tc>
          <w:tcPr>
            <w:tcW w:w="3219" w:type="dxa"/>
            <w:shd w:val="clear" w:color="auto" w:fill="auto"/>
          </w:tcPr>
          <w:p w:rsidR="0051597D" w:rsidRDefault="0051597D" w:rsidP="005810DF">
            <w:pPr>
              <w:pStyle w:val="NoSpacing"/>
              <w:rPr>
                <w:rFonts w:ascii="Arial" w:hAnsi="Arial" w:cs="Arial"/>
                <w:sz w:val="22"/>
                <w:szCs w:val="22"/>
              </w:rPr>
            </w:pPr>
          </w:p>
          <w:p w:rsidR="00BF256D" w:rsidRDefault="002B3044" w:rsidP="005810DF">
            <w:pPr>
              <w:pStyle w:val="NoSpacing"/>
              <w:rPr>
                <w:rFonts w:ascii="Arial" w:hAnsi="Arial" w:cs="Arial"/>
                <w:sz w:val="22"/>
                <w:szCs w:val="22"/>
              </w:rPr>
            </w:pPr>
            <w:r>
              <w:rPr>
                <w:rFonts w:ascii="Arial" w:hAnsi="Arial" w:cs="Arial"/>
                <w:sz w:val="22"/>
                <w:szCs w:val="22"/>
              </w:rPr>
              <w:t>75% pupil premium children at expected in Year 2</w:t>
            </w:r>
          </w:p>
          <w:p w:rsidR="002B3044" w:rsidRDefault="002B3044" w:rsidP="005810DF">
            <w:pPr>
              <w:pStyle w:val="NoSpacing"/>
              <w:rPr>
                <w:rFonts w:ascii="Arial" w:hAnsi="Arial" w:cs="Arial"/>
                <w:sz w:val="22"/>
                <w:szCs w:val="22"/>
              </w:rPr>
            </w:pPr>
            <w:r>
              <w:rPr>
                <w:rFonts w:ascii="Arial" w:hAnsi="Arial" w:cs="Arial"/>
                <w:sz w:val="22"/>
                <w:szCs w:val="22"/>
              </w:rPr>
              <w:t>3 out of 4 children.</w:t>
            </w:r>
          </w:p>
          <w:p w:rsidR="00BF256D" w:rsidRPr="00315BDE" w:rsidRDefault="00BF256D" w:rsidP="005810DF">
            <w:pPr>
              <w:pStyle w:val="NoSpacing"/>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Supported school trips &amp; visits &amp; music lessons</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£1700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Default="0065690A" w:rsidP="0051597D">
            <w:pPr>
              <w:pStyle w:val="NoSpacing"/>
            </w:pPr>
            <w:r w:rsidRPr="00315BDE">
              <w:t>LSA extra hours</w:t>
            </w:r>
          </w:p>
          <w:p w:rsidR="00E66339" w:rsidRDefault="00E66339" w:rsidP="0051597D">
            <w:pPr>
              <w:pStyle w:val="NoSpacing"/>
            </w:pPr>
          </w:p>
          <w:p w:rsidR="0065690A" w:rsidRPr="00315BDE" w:rsidRDefault="0065690A" w:rsidP="0065690A">
            <w:pPr>
              <w:pStyle w:val="NoSpacing"/>
            </w:pPr>
            <w:r>
              <w:t xml:space="preserve">Rec. </w:t>
            </w:r>
            <w:r w:rsidR="00E66339">
              <w:t>%</w:t>
            </w:r>
          </w:p>
          <w:p w:rsidR="0065690A" w:rsidRPr="00315BDE" w:rsidRDefault="0065690A" w:rsidP="0051597D">
            <w:pPr>
              <w:pStyle w:val="NoSpacing"/>
            </w:pPr>
          </w:p>
          <w:p w:rsidR="0065690A" w:rsidRDefault="0065690A" w:rsidP="0051597D">
            <w:pPr>
              <w:pStyle w:val="NoSpacing"/>
            </w:pPr>
            <w:r>
              <w:t xml:space="preserve">Year 1 </w:t>
            </w:r>
            <w:r w:rsidRPr="00315BDE">
              <w:t xml:space="preserve"> </w:t>
            </w:r>
            <w:r w:rsidR="00BF256D">
              <w:t>0</w:t>
            </w:r>
            <w:r w:rsidRPr="00315BDE">
              <w:t>%</w:t>
            </w:r>
          </w:p>
          <w:p w:rsidR="006B011C" w:rsidRDefault="006B011C" w:rsidP="0051597D">
            <w:pPr>
              <w:pStyle w:val="NoSpacing"/>
            </w:pPr>
          </w:p>
          <w:p w:rsidR="0051597D" w:rsidRDefault="0051597D" w:rsidP="0051597D">
            <w:pPr>
              <w:pStyle w:val="NoSpacing"/>
            </w:pPr>
          </w:p>
          <w:p w:rsidR="0051597D" w:rsidRDefault="0051597D" w:rsidP="0051597D">
            <w:pPr>
              <w:pStyle w:val="NoSpacing"/>
            </w:pPr>
          </w:p>
          <w:p w:rsidR="006B011C" w:rsidRDefault="006B011C" w:rsidP="0051597D">
            <w:pPr>
              <w:pStyle w:val="NoSpacing"/>
            </w:pPr>
            <w:r>
              <w:t xml:space="preserve">Year 2   </w:t>
            </w:r>
            <w:r w:rsidR="00BF256D">
              <w:t>10</w:t>
            </w:r>
            <w:r>
              <w:t>%</w:t>
            </w:r>
          </w:p>
          <w:p w:rsidR="006B011C" w:rsidRDefault="006B011C" w:rsidP="0051597D">
            <w:pPr>
              <w:pStyle w:val="NoSpacing"/>
            </w:pPr>
          </w:p>
          <w:p w:rsidR="007F30C6" w:rsidRDefault="007F30C6" w:rsidP="0051597D">
            <w:pPr>
              <w:pStyle w:val="NoSpacing"/>
            </w:pPr>
          </w:p>
          <w:p w:rsidR="007F30C6" w:rsidRDefault="007F30C6" w:rsidP="0051597D">
            <w:pPr>
              <w:pStyle w:val="NoSpacing"/>
            </w:pPr>
          </w:p>
          <w:p w:rsidR="007F30C6" w:rsidRDefault="007F30C6" w:rsidP="0051597D">
            <w:pPr>
              <w:pStyle w:val="NoSpacing"/>
            </w:pPr>
          </w:p>
          <w:p w:rsidR="007F30C6" w:rsidRDefault="007F30C6" w:rsidP="0051597D">
            <w:pPr>
              <w:pStyle w:val="NoSpacing"/>
            </w:pPr>
          </w:p>
          <w:p w:rsidR="006B011C" w:rsidRDefault="006B011C" w:rsidP="0051597D">
            <w:pPr>
              <w:pStyle w:val="NoSpacing"/>
            </w:pPr>
            <w:r>
              <w:t xml:space="preserve">Year 3  </w:t>
            </w:r>
            <w:r w:rsidR="00BF256D">
              <w:t>18</w:t>
            </w:r>
            <w:r>
              <w:t>%</w:t>
            </w:r>
          </w:p>
          <w:p w:rsidR="006B011C" w:rsidRDefault="006B011C" w:rsidP="0051597D">
            <w:pPr>
              <w:pStyle w:val="NoSpacing"/>
            </w:pPr>
          </w:p>
          <w:p w:rsidR="0051597D" w:rsidRDefault="0051597D" w:rsidP="0051597D">
            <w:pPr>
              <w:pStyle w:val="NoSpacing"/>
            </w:pPr>
          </w:p>
          <w:p w:rsidR="00E247D8" w:rsidRDefault="00E247D8" w:rsidP="0051597D">
            <w:pPr>
              <w:pStyle w:val="NoSpacing"/>
            </w:pPr>
          </w:p>
          <w:p w:rsidR="00E247D8" w:rsidRDefault="00E247D8" w:rsidP="0051597D">
            <w:pPr>
              <w:pStyle w:val="NoSpacing"/>
            </w:pPr>
          </w:p>
          <w:p w:rsidR="00E247D8" w:rsidRDefault="00E247D8" w:rsidP="0051597D">
            <w:pPr>
              <w:pStyle w:val="NoSpacing"/>
            </w:pPr>
          </w:p>
          <w:p w:rsidR="0065690A" w:rsidRDefault="006B011C" w:rsidP="0051597D">
            <w:pPr>
              <w:pStyle w:val="NoSpacing"/>
            </w:pPr>
            <w:r>
              <w:t xml:space="preserve">Year 4 </w:t>
            </w:r>
            <w:r w:rsidR="00E66339">
              <w:t>13</w:t>
            </w:r>
            <w:r>
              <w:t>%</w:t>
            </w:r>
          </w:p>
          <w:p w:rsidR="0051597D" w:rsidRDefault="0051597D" w:rsidP="0051597D">
            <w:pPr>
              <w:pStyle w:val="NoSpacing"/>
            </w:pPr>
          </w:p>
          <w:p w:rsidR="006B011C" w:rsidRPr="00315BDE" w:rsidRDefault="006B011C" w:rsidP="0051597D">
            <w:pPr>
              <w:pStyle w:val="NoSpacing"/>
            </w:pPr>
          </w:p>
          <w:p w:rsidR="0065690A" w:rsidRDefault="0065690A" w:rsidP="0051597D">
            <w:pPr>
              <w:pStyle w:val="NoSpacing"/>
            </w:pPr>
            <w:proofErr w:type="spellStart"/>
            <w:r w:rsidRPr="00315BDE">
              <w:t>Yr</w:t>
            </w:r>
            <w:proofErr w:type="spellEnd"/>
            <w:r w:rsidRPr="00315BDE">
              <w:t xml:space="preserve"> 5 </w:t>
            </w:r>
            <w:r w:rsidR="00BF256D">
              <w:t>13</w:t>
            </w:r>
            <w:r w:rsidRPr="00315BDE">
              <w:t xml:space="preserve">% </w:t>
            </w:r>
          </w:p>
          <w:p w:rsidR="002B3044" w:rsidRDefault="002B3044" w:rsidP="0051597D">
            <w:pPr>
              <w:pStyle w:val="NoSpacing"/>
            </w:pPr>
          </w:p>
          <w:p w:rsidR="002B3044" w:rsidRDefault="002B3044" w:rsidP="0051597D">
            <w:pPr>
              <w:pStyle w:val="NoSpacing"/>
            </w:pPr>
          </w:p>
          <w:p w:rsidR="006B011C" w:rsidRPr="00315BDE" w:rsidRDefault="006B011C" w:rsidP="0051597D">
            <w:pPr>
              <w:pStyle w:val="NoSpacing"/>
            </w:pPr>
          </w:p>
          <w:p w:rsidR="0065690A" w:rsidRPr="00315BDE" w:rsidRDefault="006B011C" w:rsidP="0051597D">
            <w:pPr>
              <w:pStyle w:val="NoSpacing"/>
            </w:pPr>
            <w:proofErr w:type="spellStart"/>
            <w:r>
              <w:t>Yr</w:t>
            </w:r>
            <w:proofErr w:type="spellEnd"/>
            <w:r>
              <w:t xml:space="preserve"> 6 </w:t>
            </w:r>
            <w:r w:rsidR="00BF256D">
              <w:t>16</w:t>
            </w:r>
            <w:r>
              <w:t>%</w:t>
            </w:r>
          </w:p>
          <w:p w:rsidR="0065690A" w:rsidRPr="00315BDE" w:rsidRDefault="0065690A" w:rsidP="0051597D">
            <w:pPr>
              <w:pStyle w:val="NoSpacing"/>
            </w:pPr>
          </w:p>
        </w:tc>
        <w:tc>
          <w:tcPr>
            <w:tcW w:w="0" w:type="auto"/>
            <w:shd w:val="clear" w:color="auto" w:fill="auto"/>
          </w:tcPr>
          <w:p w:rsidR="0065690A" w:rsidRPr="00315BDE" w:rsidRDefault="0065690A" w:rsidP="0051597D">
            <w:pPr>
              <w:pStyle w:val="NoSpacing"/>
            </w:pPr>
            <w:r w:rsidRPr="00315BDE">
              <w:lastRenderedPageBreak/>
              <w:t>£2</w:t>
            </w:r>
            <w:r w:rsidR="00A5119B">
              <w:t>8270</w:t>
            </w:r>
          </w:p>
          <w:p w:rsidR="0065690A" w:rsidRPr="00315BDE" w:rsidRDefault="0065690A" w:rsidP="0051597D">
            <w:pPr>
              <w:pStyle w:val="NoSpacing"/>
            </w:pPr>
          </w:p>
        </w:tc>
        <w:tc>
          <w:tcPr>
            <w:tcW w:w="3219" w:type="dxa"/>
            <w:shd w:val="clear" w:color="auto" w:fill="auto"/>
          </w:tcPr>
          <w:p w:rsidR="0065690A" w:rsidRPr="00315BDE" w:rsidRDefault="0065690A" w:rsidP="0051597D">
            <w:pPr>
              <w:pStyle w:val="NoSpacing"/>
            </w:pPr>
          </w:p>
          <w:p w:rsidR="0051597D" w:rsidRDefault="0051597D" w:rsidP="0051597D">
            <w:pPr>
              <w:pStyle w:val="NoSpacing"/>
            </w:pPr>
          </w:p>
          <w:p w:rsidR="005810DF" w:rsidRDefault="005810DF" w:rsidP="0051597D">
            <w:pPr>
              <w:pStyle w:val="NoSpacing"/>
            </w:pPr>
          </w:p>
          <w:p w:rsidR="00E247D8" w:rsidRDefault="00E247D8"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r>
              <w:t>3 out of 4 children at expected in all subjects</w:t>
            </w: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r>
              <w:t>4 out of 6 children at expected</w:t>
            </w: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p>
          <w:p w:rsidR="002B3044" w:rsidRDefault="002B3044" w:rsidP="00BF256D">
            <w:pPr>
              <w:pStyle w:val="NoSpacing"/>
            </w:pPr>
            <w:r>
              <w:t xml:space="preserve">100% at expected in reading. 5 out of 6 in maths and 4 out of 6 in writing. </w:t>
            </w:r>
          </w:p>
          <w:p w:rsidR="002B3044" w:rsidRDefault="002B3044" w:rsidP="00BF256D">
            <w:pPr>
              <w:pStyle w:val="NoSpacing"/>
            </w:pPr>
            <w:r>
              <w:t xml:space="preserve">4 out of 6 at expected in reading and 5 out of 6 in maths </w:t>
            </w:r>
            <w:r>
              <w:lastRenderedPageBreak/>
              <w:t xml:space="preserve">and writing at expected. </w:t>
            </w:r>
          </w:p>
          <w:p w:rsidR="002B3044" w:rsidRDefault="002B3044" w:rsidP="00BF256D">
            <w:pPr>
              <w:pStyle w:val="NoSpacing"/>
            </w:pPr>
          </w:p>
          <w:p w:rsidR="002B3044" w:rsidRPr="00315BDE" w:rsidRDefault="002B3044" w:rsidP="00BF256D">
            <w:pPr>
              <w:pStyle w:val="NoSpacing"/>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Additional reading resources for reading scheme</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 xml:space="preserve">£1000 </w:t>
            </w:r>
          </w:p>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FF4214" w:rsidP="0051597D">
            <w:pPr>
              <w:spacing w:before="100" w:beforeAutospacing="1" w:after="75"/>
              <w:rPr>
                <w:rFonts w:ascii="Arial" w:hAnsi="Arial" w:cs="Arial"/>
                <w:sz w:val="22"/>
                <w:szCs w:val="22"/>
              </w:rPr>
            </w:pPr>
            <w:r>
              <w:rPr>
                <w:rFonts w:ascii="Arial" w:hAnsi="Arial" w:cs="Arial"/>
                <w:sz w:val="22"/>
                <w:szCs w:val="22"/>
              </w:rPr>
              <w:t xml:space="preserve">Booster </w:t>
            </w:r>
            <w:r w:rsidR="0065690A" w:rsidRPr="00315BDE">
              <w:rPr>
                <w:rFonts w:ascii="Arial" w:hAnsi="Arial" w:cs="Arial"/>
                <w:sz w:val="22"/>
                <w:szCs w:val="22"/>
              </w:rPr>
              <w:t xml:space="preserve">groups </w:t>
            </w:r>
            <w:r>
              <w:rPr>
                <w:rFonts w:ascii="Arial" w:hAnsi="Arial" w:cs="Arial"/>
                <w:sz w:val="22"/>
                <w:szCs w:val="22"/>
              </w:rPr>
              <w:t xml:space="preserve">Y5 and </w:t>
            </w:r>
            <w:r w:rsidR="0065690A" w:rsidRPr="00315BDE">
              <w:rPr>
                <w:rFonts w:ascii="Arial" w:hAnsi="Arial" w:cs="Arial"/>
                <w:sz w:val="22"/>
                <w:szCs w:val="22"/>
              </w:rPr>
              <w:t>Y6</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w:t>
            </w:r>
            <w:r w:rsidR="009033E0">
              <w:rPr>
                <w:rFonts w:ascii="Arial" w:hAnsi="Arial" w:cs="Arial"/>
                <w:sz w:val="22"/>
                <w:szCs w:val="22"/>
              </w:rPr>
              <w:t>6</w:t>
            </w:r>
            <w:r w:rsidR="00CE7063">
              <w:rPr>
                <w:rFonts w:ascii="Arial" w:hAnsi="Arial" w:cs="Arial"/>
                <w:sz w:val="22"/>
                <w:szCs w:val="22"/>
              </w:rPr>
              <w:t>5</w:t>
            </w:r>
            <w:r w:rsidR="00E83514">
              <w:rPr>
                <w:rFonts w:ascii="Arial" w:hAnsi="Arial" w:cs="Arial"/>
                <w:sz w:val="22"/>
                <w:szCs w:val="22"/>
              </w:rPr>
              <w:t>00</w:t>
            </w:r>
          </w:p>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7F6" w:rsidRPr="00315BDE" w:rsidRDefault="002B3044" w:rsidP="00E247D8">
            <w:pPr>
              <w:spacing w:before="100" w:beforeAutospacing="1" w:after="75"/>
              <w:rPr>
                <w:rFonts w:ascii="Arial" w:hAnsi="Arial" w:cs="Arial"/>
                <w:sz w:val="22"/>
                <w:szCs w:val="22"/>
              </w:rPr>
            </w:pPr>
            <w:r>
              <w:rPr>
                <w:rFonts w:ascii="Arial" w:hAnsi="Arial" w:cs="Arial"/>
                <w:sz w:val="22"/>
                <w:szCs w:val="22"/>
              </w:rPr>
              <w:t xml:space="preserve">SATs show 63% combined at expected. </w:t>
            </w:r>
            <w:bookmarkStart w:id="0" w:name="_GoBack"/>
            <w:bookmarkEnd w:id="0"/>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Default="0065690A" w:rsidP="0051597D">
            <w:pPr>
              <w:spacing w:before="100" w:beforeAutospacing="1" w:after="75"/>
              <w:rPr>
                <w:rFonts w:ascii="Arial" w:hAnsi="Arial" w:cs="Arial"/>
                <w:sz w:val="22"/>
                <w:szCs w:val="22"/>
              </w:rPr>
            </w:pPr>
            <w:proofErr w:type="spellStart"/>
            <w:r w:rsidRPr="00315BDE">
              <w:rPr>
                <w:rFonts w:ascii="Arial" w:hAnsi="Arial" w:cs="Arial"/>
                <w:sz w:val="22"/>
                <w:szCs w:val="22"/>
              </w:rPr>
              <w:t>ICTresources</w:t>
            </w:r>
            <w:proofErr w:type="spellEnd"/>
          </w:p>
          <w:p w:rsidR="00206174" w:rsidRPr="00315BDE" w:rsidRDefault="00206174" w:rsidP="0051597D">
            <w:pPr>
              <w:spacing w:before="100" w:beforeAutospacing="1" w:after="75"/>
              <w:rPr>
                <w:rFonts w:ascii="Arial" w:hAnsi="Arial" w:cs="Arial"/>
                <w:sz w:val="22"/>
                <w:szCs w:val="22"/>
              </w:rPr>
            </w:pPr>
          </w:p>
        </w:tc>
        <w:tc>
          <w:tcPr>
            <w:tcW w:w="0" w:type="auto"/>
            <w:shd w:val="clear" w:color="auto" w:fill="auto"/>
          </w:tcPr>
          <w:p w:rsidR="0065690A" w:rsidRPr="00315BDE" w:rsidRDefault="009033E0" w:rsidP="00FF4214">
            <w:pPr>
              <w:spacing w:before="100" w:beforeAutospacing="1" w:after="75"/>
              <w:rPr>
                <w:rFonts w:ascii="Arial" w:hAnsi="Arial" w:cs="Arial"/>
                <w:sz w:val="22"/>
                <w:szCs w:val="22"/>
              </w:rPr>
            </w:pPr>
            <w:r>
              <w:rPr>
                <w:rFonts w:ascii="Arial" w:hAnsi="Arial" w:cs="Arial"/>
                <w:sz w:val="22"/>
                <w:szCs w:val="22"/>
              </w:rPr>
              <w:t>£4000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Trips</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Theatre</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Camp</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£200</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£600</w:t>
            </w:r>
          </w:p>
          <w:p w:rsidR="0065690A" w:rsidRPr="00315BDE" w:rsidRDefault="0065690A" w:rsidP="00FF4214">
            <w:pPr>
              <w:spacing w:before="100" w:beforeAutospacing="1" w:after="75"/>
              <w:rPr>
                <w:rFonts w:ascii="Arial" w:hAnsi="Arial" w:cs="Arial"/>
                <w:sz w:val="22"/>
                <w:szCs w:val="22"/>
              </w:rPr>
            </w:pPr>
            <w:r w:rsidRPr="00315BDE">
              <w:rPr>
                <w:rFonts w:ascii="Arial" w:hAnsi="Arial" w:cs="Arial"/>
                <w:sz w:val="22"/>
                <w:szCs w:val="22"/>
              </w:rPr>
              <w:t>£</w:t>
            </w:r>
            <w:r w:rsidR="00E83514">
              <w:rPr>
                <w:rFonts w:ascii="Arial" w:hAnsi="Arial" w:cs="Arial"/>
                <w:sz w:val="22"/>
                <w:szCs w:val="22"/>
              </w:rPr>
              <w:t>1</w:t>
            </w:r>
            <w:r w:rsidR="00FF4214">
              <w:rPr>
                <w:rFonts w:ascii="Arial" w:hAnsi="Arial" w:cs="Arial"/>
                <w:sz w:val="22"/>
                <w:szCs w:val="22"/>
              </w:rPr>
              <w:t>800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TLR</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£2535</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bl>
    <w:p w:rsidR="0065690A" w:rsidRDefault="0065690A" w:rsidP="0065690A">
      <w:pPr>
        <w:shd w:val="clear" w:color="auto" w:fill="FFFFFF"/>
        <w:spacing w:before="100" w:beforeAutospacing="1" w:after="75"/>
      </w:pPr>
      <w:r>
        <w:t xml:space="preserve">             </w:t>
      </w: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 w:rsidR="00A16321" w:rsidRDefault="00A16321"/>
    <w:sectPr w:rsidR="00A16321" w:rsidSect="0051597D">
      <w:headerReference w:type="even" r:id="rId7"/>
      <w:headerReference w:type="default" r:id="rId8"/>
      <w:headerReference w:type="first" r:id="rId9"/>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6D" w:rsidRDefault="00BF256D">
      <w:r>
        <w:separator/>
      </w:r>
    </w:p>
  </w:endnote>
  <w:endnote w:type="continuationSeparator" w:id="0">
    <w:p w:rsidR="00BF256D" w:rsidRDefault="00B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6D" w:rsidRDefault="00BF256D">
      <w:r>
        <w:separator/>
      </w:r>
    </w:p>
  </w:footnote>
  <w:footnote w:type="continuationSeparator" w:id="0">
    <w:p w:rsidR="00BF256D" w:rsidRDefault="00BF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6D" w:rsidRDefault="00BF2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6D" w:rsidRDefault="00BF2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6D" w:rsidRDefault="00BF2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0A"/>
    <w:rsid w:val="00206174"/>
    <w:rsid w:val="002B3044"/>
    <w:rsid w:val="0051597D"/>
    <w:rsid w:val="005810DF"/>
    <w:rsid w:val="006567F6"/>
    <w:rsid w:val="0065690A"/>
    <w:rsid w:val="006B011C"/>
    <w:rsid w:val="00700DD0"/>
    <w:rsid w:val="007F30C6"/>
    <w:rsid w:val="008163AE"/>
    <w:rsid w:val="008B0DE9"/>
    <w:rsid w:val="009033E0"/>
    <w:rsid w:val="00A16321"/>
    <w:rsid w:val="00A5119B"/>
    <w:rsid w:val="00BC6D14"/>
    <w:rsid w:val="00BF256D"/>
    <w:rsid w:val="00C35046"/>
    <w:rsid w:val="00CE7063"/>
    <w:rsid w:val="00DA4867"/>
    <w:rsid w:val="00E247D8"/>
    <w:rsid w:val="00E66339"/>
    <w:rsid w:val="00E83514"/>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90A"/>
    <w:pPr>
      <w:tabs>
        <w:tab w:val="center" w:pos="4153"/>
        <w:tab w:val="right" w:pos="8306"/>
      </w:tabs>
    </w:pPr>
  </w:style>
  <w:style w:type="character" w:customStyle="1" w:styleId="HeaderChar">
    <w:name w:val="Header Char"/>
    <w:basedOn w:val="DefaultParagraphFont"/>
    <w:link w:val="Header"/>
    <w:rsid w:val="0065690A"/>
    <w:rPr>
      <w:rFonts w:ascii="Times New Roman" w:eastAsia="Times New Roman" w:hAnsi="Times New Roman" w:cs="Times New Roman"/>
      <w:sz w:val="24"/>
      <w:szCs w:val="24"/>
      <w:lang w:eastAsia="en-GB"/>
    </w:rPr>
  </w:style>
  <w:style w:type="paragraph" w:styleId="NoSpacing">
    <w:name w:val="No Spacing"/>
    <w:uiPriority w:val="1"/>
    <w:qFormat/>
    <w:rsid w:val="0065690A"/>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90A"/>
    <w:pPr>
      <w:tabs>
        <w:tab w:val="center" w:pos="4153"/>
        <w:tab w:val="right" w:pos="8306"/>
      </w:tabs>
    </w:pPr>
  </w:style>
  <w:style w:type="character" w:customStyle="1" w:styleId="HeaderChar">
    <w:name w:val="Header Char"/>
    <w:basedOn w:val="DefaultParagraphFont"/>
    <w:link w:val="Header"/>
    <w:rsid w:val="0065690A"/>
    <w:rPr>
      <w:rFonts w:ascii="Times New Roman" w:eastAsia="Times New Roman" w:hAnsi="Times New Roman" w:cs="Times New Roman"/>
      <w:sz w:val="24"/>
      <w:szCs w:val="24"/>
      <w:lang w:eastAsia="en-GB"/>
    </w:rPr>
  </w:style>
  <w:style w:type="paragraph" w:styleId="NoSpacing">
    <w:name w:val="No Spacing"/>
    <w:uiPriority w:val="1"/>
    <w:qFormat/>
    <w:rsid w:val="0065690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dcterms:created xsi:type="dcterms:W3CDTF">2016-09-14T12:34:00Z</dcterms:created>
  <dcterms:modified xsi:type="dcterms:W3CDTF">2017-07-10T13:13:00Z</dcterms:modified>
</cp:coreProperties>
</file>